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sz w:val="44"/>
          <w:szCs w:val="44"/>
          <w:lang w:val="en-US"/>
        </w:rPr>
        <w:t>E</w:t>
      </w:r>
      <w:r>
        <w:rPr>
          <w:rFonts w:hint="eastAsia"/>
          <w:sz w:val="44"/>
          <w:szCs w:val="44"/>
          <w:lang w:val="en-US" w:eastAsia="zh-CN"/>
        </w:rPr>
        <w:t>云客户端配置说明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双击“e云桌面客户端无盘配置引导.exe”获取E云服务端ip</w:t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4688840" cy="2646680"/>
            <wp:effectExtent l="0" t="0" r="165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88840" cy="2646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4471035" cy="2705735"/>
            <wp:effectExtent l="0" t="0" r="5715" b="184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1035" cy="2705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查看当前文件夹是否生成“DTClient.ini”配置文件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762625" cy="981075"/>
            <wp:effectExtent l="0" t="0" r="9525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</w:pP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将“LoadDTClient.exe”添加到无盘开机启动</w:t>
      </w:r>
      <w:bookmarkStart w:id="0" w:name="_GoBack"/>
      <w:bookmarkEnd w:id="0"/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启动客户机测试E云客户端是否正常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80691"/>
    <w:multiLevelType w:val="singleLevel"/>
    <w:tmpl w:val="59880691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54EEE"/>
    <w:rsid w:val="697A47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2017-08-07T06:55:43Z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